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126BD6" w:rsidRPr="00126BD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BB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F71124">
              <w:rPr>
                <w:sz w:val="28"/>
                <w:szCs w:val="28"/>
              </w:rPr>
              <w:t>1</w:t>
            </w:r>
            <w:r w:rsidR="003B5528">
              <w:rPr>
                <w:sz w:val="28"/>
                <w:szCs w:val="28"/>
              </w:rPr>
              <w:t>4</w:t>
            </w:r>
            <w:r w:rsidR="00F71124">
              <w:rPr>
                <w:sz w:val="28"/>
                <w:szCs w:val="28"/>
              </w:rPr>
              <w:t>.0</w:t>
            </w:r>
            <w:r w:rsidR="003B5528">
              <w:rPr>
                <w:sz w:val="28"/>
                <w:szCs w:val="28"/>
              </w:rPr>
              <w:t>8</w:t>
            </w:r>
            <w:r w:rsidR="00F71124">
              <w:rPr>
                <w:sz w:val="28"/>
                <w:szCs w:val="28"/>
              </w:rPr>
              <w:t>.2025</w:t>
            </w:r>
            <w:r w:rsidR="00C95FD1">
              <w:rPr>
                <w:sz w:val="28"/>
                <w:szCs w:val="28"/>
              </w:rPr>
              <w:t xml:space="preserve">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BB2BDB">
              <w:rPr>
                <w:sz w:val="28"/>
                <w:szCs w:val="28"/>
              </w:rPr>
              <w:t>432-</w:t>
            </w:r>
            <w:r w:rsidR="00F7112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1C00B5" w:rsidRDefault="007958C5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</w:t>
            </w:r>
            <w:r w:rsidR="003B5528" w:rsidRPr="003B3425">
              <w:rPr>
                <w:szCs w:val="24"/>
                <w:lang w:val="ru-RU"/>
              </w:rPr>
              <w:t>5 033,6934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382C28" w:rsidRPr="00A71EB4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</w:t>
            </w:r>
            <w:r w:rsidRPr="00033873">
              <w:rPr>
                <w:szCs w:val="24"/>
                <w:lang w:val="ru-RU"/>
              </w:rPr>
              <w:t>4</w:t>
            </w:r>
            <w:r w:rsidR="003B5528" w:rsidRPr="003B3425">
              <w:rPr>
                <w:szCs w:val="24"/>
                <w:lang w:val="ru-RU"/>
              </w:rPr>
              <w:t>5 033,6934</w:t>
            </w:r>
            <w:r w:rsidR="00382C28" w:rsidRPr="00A71EB4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2023 год – </w:t>
            </w:r>
            <w:r w:rsidR="005C7DD9" w:rsidRPr="00A71EB4">
              <w:rPr>
                <w:szCs w:val="24"/>
                <w:lang w:val="ru-RU"/>
              </w:rPr>
              <w:t xml:space="preserve"> 3 807,62626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2024 год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-  </w:t>
            </w:r>
            <w:r w:rsidR="007329CC" w:rsidRPr="00A71EB4">
              <w:rPr>
                <w:szCs w:val="24"/>
                <w:lang w:val="ru-RU"/>
              </w:rPr>
              <w:t>1</w:t>
            </w:r>
            <w:r w:rsidR="007958C5" w:rsidRPr="00033873">
              <w:rPr>
                <w:szCs w:val="24"/>
                <w:lang w:val="ru-RU"/>
              </w:rPr>
              <w:t>1 924,68634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>тыс. руб.,</w:t>
            </w:r>
          </w:p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2025 год – 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7958C5" w:rsidRPr="00033873">
              <w:rPr>
                <w:szCs w:val="24"/>
                <w:lang w:val="ru-RU"/>
              </w:rPr>
              <w:t>20 050</w:t>
            </w:r>
            <w:r w:rsidR="007329CC" w:rsidRPr="00A71EB4">
              <w:rPr>
                <w:szCs w:val="24"/>
                <w:lang w:val="ru-RU"/>
              </w:rPr>
              <w:t>,00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1C00B5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3B5528" w:rsidRPr="003B3425">
              <w:rPr>
                <w:szCs w:val="24"/>
                <w:lang w:val="ru-RU"/>
              </w:rPr>
              <w:t>6 601,3808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1C00B5" w:rsidRDefault="00382C28" w:rsidP="007329CC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2 </w:t>
            </w:r>
            <w:r w:rsidR="007329CC" w:rsidRPr="00011E5E">
              <w:rPr>
                <w:szCs w:val="24"/>
                <w:lang w:val="ru-RU"/>
              </w:rPr>
              <w:t>65</w:t>
            </w:r>
            <w:r w:rsidRPr="00D014AF">
              <w:rPr>
                <w:szCs w:val="24"/>
                <w:lang w:val="ru-RU"/>
              </w:rPr>
              <w:t>0,0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 w:rsidR="00431694">
        <w:rPr>
          <w:sz w:val="24"/>
          <w:szCs w:val="24"/>
        </w:rPr>
        <w:t xml:space="preserve">                 </w:t>
      </w:r>
      <w:r w:rsidR="007958C5">
        <w:rPr>
          <w:sz w:val="24"/>
          <w:szCs w:val="24"/>
        </w:rPr>
        <w:t>4</w:t>
      </w:r>
      <w:r w:rsidR="003B5528">
        <w:rPr>
          <w:sz w:val="24"/>
          <w:szCs w:val="24"/>
        </w:rPr>
        <w:t>5 033,6934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7329CC">
        <w:rPr>
          <w:sz w:val="24"/>
          <w:szCs w:val="24"/>
        </w:rPr>
        <w:t>1</w:t>
      </w:r>
      <w:r w:rsidR="007958C5">
        <w:rPr>
          <w:sz w:val="24"/>
          <w:szCs w:val="24"/>
        </w:rPr>
        <w:t>1 924,68634</w:t>
      </w:r>
      <w:r w:rsidRPr="00D4037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 w:rsidR="007958C5">
        <w:rPr>
          <w:sz w:val="24"/>
          <w:szCs w:val="24"/>
        </w:rPr>
        <w:t>20 0</w:t>
      </w:r>
      <w:r w:rsidR="00A71EB4" w:rsidRPr="00A71EB4">
        <w:rPr>
          <w:sz w:val="24"/>
          <w:szCs w:val="24"/>
        </w:rPr>
        <w:t>5</w:t>
      </w:r>
      <w:r w:rsidR="00431694" w:rsidRPr="00A71EB4">
        <w:rPr>
          <w:sz w:val="24"/>
          <w:szCs w:val="24"/>
        </w:rPr>
        <w:t>0</w:t>
      </w:r>
      <w:r w:rsidR="007329CC" w:rsidRPr="00A71EB4">
        <w:rPr>
          <w:sz w:val="24"/>
          <w:szCs w:val="24"/>
        </w:rPr>
        <w:t>,00</w:t>
      </w:r>
      <w:r w:rsidRPr="00A71EB4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3B5528">
        <w:rPr>
          <w:sz w:val="24"/>
          <w:szCs w:val="24"/>
        </w:rPr>
        <w:t>6 601,3808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 w:rsidR="007329CC">
        <w:rPr>
          <w:sz w:val="24"/>
          <w:szCs w:val="24"/>
        </w:rPr>
        <w:t>65</w:t>
      </w:r>
      <w:r w:rsidRPr="00B77EDB">
        <w:rPr>
          <w:sz w:val="24"/>
          <w:szCs w:val="24"/>
        </w:rPr>
        <w:t>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560"/>
        <w:gridCol w:w="1417"/>
        <w:gridCol w:w="1559"/>
        <w:gridCol w:w="993"/>
        <w:gridCol w:w="1417"/>
        <w:gridCol w:w="850"/>
      </w:tblGrid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559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993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3B5528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45033,6934</w:t>
            </w:r>
          </w:p>
        </w:tc>
        <w:tc>
          <w:tcPr>
            <w:tcW w:w="1417" w:type="dxa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11924,68634</w:t>
            </w:r>
          </w:p>
        </w:tc>
        <w:tc>
          <w:tcPr>
            <w:tcW w:w="993" w:type="dxa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20050</w:t>
            </w:r>
          </w:p>
        </w:tc>
        <w:tc>
          <w:tcPr>
            <w:tcW w:w="1417" w:type="dxa"/>
          </w:tcPr>
          <w:p w:rsidR="007C083F" w:rsidRPr="001C00B5" w:rsidRDefault="003B5528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6601,3808</w:t>
            </w:r>
          </w:p>
        </w:tc>
        <w:tc>
          <w:tcPr>
            <w:tcW w:w="850" w:type="dxa"/>
          </w:tcPr>
          <w:p w:rsidR="007C083F" w:rsidRPr="001C00B5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5C7DD9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C7DD9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1C00B5" w:rsidRDefault="003B5528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45033,6934</w:t>
            </w:r>
          </w:p>
        </w:tc>
        <w:tc>
          <w:tcPr>
            <w:tcW w:w="1417" w:type="dxa"/>
          </w:tcPr>
          <w:p w:rsidR="005C7DD9" w:rsidRPr="001C00B5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5C7DD9" w:rsidRPr="001C00B5" w:rsidRDefault="007958C5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11924,68634</w:t>
            </w:r>
          </w:p>
        </w:tc>
        <w:tc>
          <w:tcPr>
            <w:tcW w:w="993" w:type="dxa"/>
          </w:tcPr>
          <w:p w:rsidR="005C7DD9" w:rsidRPr="001C00B5" w:rsidRDefault="007958C5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20050</w:t>
            </w:r>
          </w:p>
        </w:tc>
        <w:tc>
          <w:tcPr>
            <w:tcW w:w="1417" w:type="dxa"/>
          </w:tcPr>
          <w:p w:rsidR="005C7DD9" w:rsidRPr="001C00B5" w:rsidRDefault="003B5528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6601,3808</w:t>
            </w:r>
          </w:p>
        </w:tc>
        <w:tc>
          <w:tcPr>
            <w:tcW w:w="850" w:type="dxa"/>
          </w:tcPr>
          <w:p w:rsidR="005C7DD9" w:rsidRPr="001C00B5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</w:t>
            </w:r>
            <w:r w:rsidRPr="00D014AF">
              <w:rPr>
                <w:szCs w:val="24"/>
                <w:lang w:val="ru-RU"/>
              </w:rPr>
              <w:lastRenderedPageBreak/>
              <w:t>инфраструктуры и систем 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lastRenderedPageBreak/>
              <w:t>9040,6609</w:t>
            </w:r>
          </w:p>
        </w:tc>
        <w:tc>
          <w:tcPr>
            <w:tcW w:w="1417" w:type="dxa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559" w:type="dxa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4277,35290</w:t>
            </w:r>
          </w:p>
        </w:tc>
        <w:tc>
          <w:tcPr>
            <w:tcW w:w="993" w:type="dxa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750</w:t>
            </w:r>
          </w:p>
        </w:tc>
        <w:tc>
          <w:tcPr>
            <w:tcW w:w="1417" w:type="dxa"/>
          </w:tcPr>
          <w:p w:rsidR="007C083F" w:rsidRPr="001C00B5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850" w:type="dxa"/>
          </w:tcPr>
          <w:p w:rsidR="007C083F" w:rsidRPr="001C00B5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1500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15911,72241</w:t>
            </w:r>
          </w:p>
        </w:tc>
        <w:tc>
          <w:tcPr>
            <w:tcW w:w="1417" w:type="dxa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559" w:type="dxa"/>
          </w:tcPr>
          <w:p w:rsidR="007C083F" w:rsidRPr="00B77EDB" w:rsidRDefault="007958C5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4107,69651</w:t>
            </w:r>
          </w:p>
        </w:tc>
        <w:tc>
          <w:tcPr>
            <w:tcW w:w="993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417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850" w:type="dxa"/>
          </w:tcPr>
          <w:p w:rsidR="007C083F" w:rsidRPr="00B77EDB" w:rsidRDefault="007329CC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55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</w:t>
            </w:r>
            <w:r w:rsidRPr="00A63182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lastRenderedPageBreak/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961,3336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6836D6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 w:rsidR="006836D6"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</w:t>
            </w:r>
            <w:r w:rsidR="0052127A">
              <w:rPr>
                <w:rFonts w:eastAsia="Calibri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  <w:r w:rsidR="0052127A">
              <w:rPr>
                <w:rFonts w:eastAsia="Calibri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shd w:val="clear" w:color="auto" w:fill="auto"/>
          </w:tcPr>
          <w:p w:rsidR="007C083F" w:rsidRPr="001C00B5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1C00B5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4C73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034C73" w:rsidRPr="001C00B5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C5BFC">
              <w:rPr>
                <w:szCs w:val="24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34C73" w:rsidRPr="00A63182" w:rsidRDefault="00034C73" w:rsidP="003A5A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 проектной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документации на капитальный ремонт системы водоснабжения – «Капитальный ремонт станции 2-го подъема, расположенной Ивановская область, г. Пучеж, ул.Северная, д.1», имеющей положительное заключение государственной экспертизы о проверке достоверности </w:t>
            </w:r>
            <w:r w:rsidR="003A5A77">
              <w:rPr>
                <w:rFonts w:eastAsia="Calibri"/>
                <w:color w:val="000000"/>
                <w:sz w:val="24"/>
                <w:szCs w:val="24"/>
              </w:rPr>
              <w:t xml:space="preserve">определения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сметной </w:t>
            </w:r>
            <w:r w:rsidR="003A5A77">
              <w:rPr>
                <w:rFonts w:eastAsia="Calibri"/>
                <w:color w:val="000000"/>
                <w:sz w:val="24"/>
                <w:szCs w:val="24"/>
              </w:rPr>
              <w:t>стоимости</w:t>
            </w:r>
          </w:p>
        </w:tc>
        <w:tc>
          <w:tcPr>
            <w:tcW w:w="1560" w:type="dxa"/>
            <w:shd w:val="clear" w:color="auto" w:fill="auto"/>
          </w:tcPr>
          <w:p w:rsidR="00034C73" w:rsidRPr="001C00B5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lastRenderedPageBreak/>
              <w:t>15000</w:t>
            </w:r>
          </w:p>
        </w:tc>
        <w:tc>
          <w:tcPr>
            <w:tcW w:w="1417" w:type="dxa"/>
          </w:tcPr>
          <w:p w:rsidR="00034C73" w:rsidRPr="001C00B5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34C73" w:rsidRPr="00A71EB4" w:rsidRDefault="007958C5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417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</w:tr>
      <w:tr w:rsidR="003B5528" w:rsidRPr="00AD4C28" w:rsidTr="003B5528">
        <w:trPr>
          <w:trHeight w:val="282"/>
        </w:trPr>
        <w:tc>
          <w:tcPr>
            <w:tcW w:w="534" w:type="dxa"/>
            <w:shd w:val="clear" w:color="auto" w:fill="auto"/>
          </w:tcPr>
          <w:p w:rsidR="003B5528" w:rsidRPr="001C00B5" w:rsidRDefault="003B5528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3B5528" w:rsidRPr="003B5528" w:rsidRDefault="003B5528" w:rsidP="003B552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B5528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водопроводная сеть, расположенной по адресу  Ивановская область, р-н Пучежский, г. Пучеж: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rFonts w:eastAsia="Calibri"/>
                <w:color w:val="000000"/>
                <w:sz w:val="24"/>
                <w:szCs w:val="24"/>
              </w:rPr>
              <w:t>-  з</w:t>
            </w:r>
            <w:r w:rsidRPr="003B5528">
              <w:rPr>
                <w:color w:val="000000"/>
                <w:sz w:val="24"/>
                <w:szCs w:val="24"/>
              </w:rPr>
              <w:t xml:space="preserve">адвижка чугун 30ч39р обрезиненный клин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250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10/16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фл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– 1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 xml:space="preserve">-  задвижка чугун 30ч39р обрезиненный клин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200 Ру10/16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фл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– 3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 xml:space="preserve">-  задвижка чугун 30ч39р обрезиненный клин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150 Ру10/16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фл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– 13 </w:t>
            </w:r>
            <w:r w:rsidRPr="003B5528">
              <w:rPr>
                <w:color w:val="000000"/>
                <w:sz w:val="24"/>
                <w:szCs w:val="24"/>
              </w:rPr>
              <w:lastRenderedPageBreak/>
              <w:t>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фланец 250-16-01-1-В-сч.20-IV ГОСТ 33259-15 – 2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фланец 200-16-01-1-В-сч.20-IV ГОСТ 33259-15 – 6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фланец 150-16-01-1-В-сч.20-IV ГОСТ 33259-15 – 26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труба электросварная сталь 20 273х8 – 12 м.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труба электросварная сталь 20 219х7 – 12 м.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труба электросварная сталь 20 159х5 – 12 м.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отвод 90-159х4,5 ст.20 ГОСТ 17375 – 2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 xml:space="preserve">-  муфта чугун соединительная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250(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272-289)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10/16 – 2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 xml:space="preserve">-  муфта чугун соединительная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200(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218-235)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10/16 – 7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 xml:space="preserve">-  муфта чугун соединительная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150(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159-182) </w:t>
            </w:r>
            <w:proofErr w:type="spellStart"/>
            <w:r w:rsidRPr="003B5528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B5528">
              <w:rPr>
                <w:color w:val="000000"/>
                <w:sz w:val="24"/>
                <w:szCs w:val="24"/>
              </w:rPr>
              <w:t xml:space="preserve"> 10/16 – 26 шт.</w:t>
            </w:r>
          </w:p>
          <w:p w:rsidR="003B5528" w:rsidRPr="003B5528" w:rsidRDefault="003B5528" w:rsidP="003B5528">
            <w:pPr>
              <w:jc w:val="both"/>
              <w:rPr>
                <w:color w:val="000000"/>
                <w:sz w:val="24"/>
                <w:szCs w:val="24"/>
              </w:rPr>
            </w:pPr>
            <w:r w:rsidRPr="003B5528">
              <w:rPr>
                <w:color w:val="000000"/>
                <w:sz w:val="24"/>
                <w:szCs w:val="24"/>
              </w:rPr>
              <w:t>-  колонка водоразборная КВ-4 3000 м. – 5 шт.</w:t>
            </w:r>
          </w:p>
          <w:p w:rsidR="003B5528" w:rsidRPr="003B5528" w:rsidRDefault="003B5528" w:rsidP="003A5A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5528" w:rsidRPr="001C00B5" w:rsidRDefault="003B5528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lastRenderedPageBreak/>
              <w:t>1041,38080</w:t>
            </w:r>
          </w:p>
        </w:tc>
        <w:tc>
          <w:tcPr>
            <w:tcW w:w="1417" w:type="dxa"/>
          </w:tcPr>
          <w:p w:rsidR="003B5528" w:rsidRPr="001C00B5" w:rsidRDefault="003B5528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3B5528" w:rsidRPr="00A71EB4" w:rsidRDefault="003B5528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B5528" w:rsidRDefault="003B5528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B5528" w:rsidRPr="00A71EB4" w:rsidRDefault="003B5528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1041,38080</w:t>
            </w:r>
          </w:p>
        </w:tc>
        <w:tc>
          <w:tcPr>
            <w:tcW w:w="850" w:type="dxa"/>
          </w:tcPr>
          <w:p w:rsidR="003B5528" w:rsidRPr="00A71EB4" w:rsidRDefault="003B5528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E725B" w:rsidRPr="007958C5" w:rsidRDefault="00305831" w:rsidP="0030583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58C5">
        <w:rPr>
          <w:sz w:val="24"/>
          <w:szCs w:val="24"/>
        </w:rPr>
        <w:lastRenderedPageBreak/>
        <w:t xml:space="preserve"> </w:t>
      </w:r>
    </w:p>
    <w:p w:rsidR="00CE725B" w:rsidRPr="00BC1C03" w:rsidRDefault="00CE725B" w:rsidP="00CE725B">
      <w:pPr>
        <w:numPr>
          <w:ilvl w:val="0"/>
          <w:numId w:val="24"/>
        </w:numPr>
        <w:ind w:left="0" w:right="141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BC1C03">
        <w:rPr>
          <w:sz w:val="24"/>
          <w:szCs w:val="24"/>
        </w:rPr>
        <w:t>. Раздел  «</w:t>
      </w:r>
      <w:r>
        <w:rPr>
          <w:sz w:val="24"/>
          <w:szCs w:val="24"/>
        </w:rPr>
        <w:t xml:space="preserve">цель, целевые показатели и ожидаемые результаты реализации </w:t>
      </w:r>
      <w:r w:rsidRPr="00BC1C03">
        <w:rPr>
          <w:sz w:val="24"/>
          <w:szCs w:val="24"/>
        </w:rPr>
        <w:t xml:space="preserve"> муниципальной программы»  изложить в следующей редакции:</w:t>
      </w:r>
    </w:p>
    <w:p w:rsidR="00CE725B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</w:p>
    <w:p w:rsidR="00CE725B" w:rsidRPr="009210DE" w:rsidRDefault="00CE725B" w:rsidP="00CE725B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9210DE">
        <w:rPr>
          <w:rFonts w:ascii="Times New Roman" w:hAnsi="Times New Roman"/>
          <w:b/>
          <w:i w:val="0"/>
          <w:sz w:val="24"/>
          <w:szCs w:val="24"/>
        </w:rPr>
        <w:t>3. Цель</w:t>
      </w:r>
      <w:r>
        <w:rPr>
          <w:rFonts w:ascii="Times New Roman" w:hAnsi="Times New Roman"/>
          <w:b/>
          <w:i w:val="0"/>
          <w:sz w:val="24"/>
          <w:szCs w:val="24"/>
        </w:rPr>
        <w:t>, целевые показатели и</w:t>
      </w:r>
      <w:r w:rsidRPr="009210DE">
        <w:rPr>
          <w:rFonts w:ascii="Times New Roman" w:hAnsi="Times New Roman"/>
          <w:b/>
          <w:i w:val="0"/>
          <w:sz w:val="24"/>
          <w:szCs w:val="24"/>
        </w:rPr>
        <w:t xml:space="preserve"> ожидаемые результаты  реализации муниципальной программы</w:t>
      </w:r>
    </w:p>
    <w:p w:rsidR="00CE725B" w:rsidRDefault="00CE725B" w:rsidP="00CE725B">
      <w:pPr>
        <w:pStyle w:val="af"/>
        <w:suppressAutoHyphens/>
        <w:rPr>
          <w:rFonts w:ascii="Times New Roman" w:hAnsi="Times New Roman" w:cs="Times New Roman"/>
        </w:rPr>
      </w:pP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sz w:val="24"/>
          <w:szCs w:val="24"/>
        </w:rPr>
      </w:pPr>
      <w:r w:rsidRPr="004D36AF">
        <w:rPr>
          <w:sz w:val="24"/>
          <w:szCs w:val="24"/>
        </w:rPr>
        <w:t xml:space="preserve">       Основной целью Программы является: 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1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бесперебойное </w:t>
      </w:r>
      <w:r w:rsidRPr="00F9111C">
        <w:rPr>
          <w:color w:val="000000"/>
          <w:sz w:val="24"/>
          <w:szCs w:val="24"/>
        </w:rPr>
        <w:t>обеспечение надежными и качественными коммунальными услугами потребителей города Пучежа</w:t>
      </w:r>
      <w:r>
        <w:rPr>
          <w:color w:val="000000"/>
          <w:sz w:val="24"/>
          <w:szCs w:val="24"/>
        </w:rPr>
        <w:t>.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достижения цели требуется решить задачи:</w:t>
      </w:r>
    </w:p>
    <w:p w:rsidR="00CE725B" w:rsidRDefault="00CE725B" w:rsidP="00CE725B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042DC">
        <w:rPr>
          <w:sz w:val="24"/>
          <w:szCs w:val="24"/>
        </w:rPr>
        <w:t xml:space="preserve">обеспечение потребителей </w:t>
      </w:r>
      <w:r>
        <w:rPr>
          <w:sz w:val="24"/>
          <w:szCs w:val="24"/>
        </w:rPr>
        <w:t>г.Пучежа</w:t>
      </w:r>
      <w:r w:rsidRPr="00A042DC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установленными санитарно-эпидемио</w:t>
      </w:r>
      <w:r>
        <w:rPr>
          <w:sz w:val="24"/>
          <w:szCs w:val="24"/>
        </w:rPr>
        <w:t>логическими правилами и нормами</w:t>
      </w:r>
      <w:r w:rsidRPr="00A042DC">
        <w:rPr>
          <w:sz w:val="24"/>
          <w:szCs w:val="24"/>
        </w:rPr>
        <w:t>;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финансовое оздоровление организаций оказывающим услуги гражданам по помывке в общих отделениях бани;</w:t>
      </w:r>
    </w:p>
    <w:p w:rsidR="00CE725B" w:rsidRPr="00F9111C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развитие банных услуг, обеспечение их доступности для всех категорий граждан.</w:t>
      </w:r>
    </w:p>
    <w:p w:rsidR="00CE725B" w:rsidRPr="004D36AF" w:rsidRDefault="00CE725B" w:rsidP="00CE725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725B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>Основные по</w:t>
      </w:r>
      <w:r>
        <w:rPr>
          <w:sz w:val="24"/>
          <w:szCs w:val="24"/>
        </w:rPr>
        <w:t>казатели (индикаторы)</w:t>
      </w:r>
      <w:r w:rsidR="0052127A">
        <w:rPr>
          <w:sz w:val="24"/>
          <w:szCs w:val="24"/>
        </w:rPr>
        <w:t xml:space="preserve"> и ожидаемые результаты реализации</w:t>
      </w:r>
      <w:r>
        <w:rPr>
          <w:sz w:val="24"/>
          <w:szCs w:val="24"/>
        </w:rPr>
        <w:t xml:space="preserve"> Программы</w:t>
      </w:r>
      <w:r w:rsidRPr="009210DE">
        <w:rPr>
          <w:sz w:val="24"/>
          <w:szCs w:val="24"/>
        </w:rPr>
        <w:t xml:space="preserve">, с указанием значений по годам приведен в </w:t>
      </w:r>
      <w:r>
        <w:rPr>
          <w:sz w:val="24"/>
          <w:szCs w:val="24"/>
        </w:rPr>
        <w:t>нижеследующей таблице:</w:t>
      </w:r>
    </w:p>
    <w:p w:rsidR="00CE725B" w:rsidRPr="009210DE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134"/>
        <w:gridCol w:w="851"/>
        <w:gridCol w:w="992"/>
        <w:gridCol w:w="992"/>
        <w:gridCol w:w="992"/>
        <w:gridCol w:w="851"/>
      </w:tblGrid>
      <w:tr w:rsidR="00CE725B" w:rsidRPr="00AD4C28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 xml:space="preserve">№ </w:t>
            </w:r>
            <w:proofErr w:type="spellStart"/>
            <w:r w:rsidRPr="003F0291">
              <w:rPr>
                <w:szCs w:val="24"/>
                <w:lang w:val="ru-RU"/>
              </w:rPr>
              <w:t>п</w:t>
            </w:r>
            <w:proofErr w:type="spellEnd"/>
            <w:r w:rsidRPr="003F0291">
              <w:rPr>
                <w:szCs w:val="24"/>
                <w:lang w:val="ru-RU"/>
              </w:rPr>
              <w:t>/</w:t>
            </w:r>
            <w:proofErr w:type="spellStart"/>
            <w:r w:rsidRPr="003F0291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Наименование показателя (индикатора) программы</w:t>
            </w:r>
          </w:p>
        </w:tc>
        <w:tc>
          <w:tcPr>
            <w:tcW w:w="11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2024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2026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2027</w:t>
            </w:r>
          </w:p>
        </w:tc>
      </w:tr>
      <w:tr w:rsidR="00CE725B" w:rsidRPr="00AD4C28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both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Снижение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показателя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удельного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веса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проб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воды,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не отвечающих гигиеническим нормативам</w:t>
            </w:r>
          </w:p>
        </w:tc>
        <w:tc>
          <w:tcPr>
            <w:tcW w:w="11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73,3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66</w:t>
            </w:r>
          </w:p>
        </w:tc>
      </w:tr>
      <w:tr w:rsidR="00CE725B" w:rsidRPr="00B77EDB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both"/>
              <w:rPr>
                <w:szCs w:val="24"/>
                <w:highlight w:val="yellow"/>
                <w:lang w:val="ru-RU"/>
              </w:rPr>
            </w:pPr>
            <w:r w:rsidRPr="003F0291">
              <w:rPr>
                <w:szCs w:val="24"/>
                <w:lang w:val="ru-RU"/>
              </w:rPr>
              <w:t>Снижения уровня износа объектов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69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67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66</w:t>
            </w:r>
          </w:p>
        </w:tc>
      </w:tr>
      <w:tr w:rsidR="00CE725B" w:rsidRPr="00B77EDB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E725B" w:rsidRPr="00CE7504" w:rsidRDefault="00CE725B" w:rsidP="00696265">
            <w:pPr>
              <w:suppressAutoHyphens/>
              <w:jc w:val="both"/>
              <w:rPr>
                <w:szCs w:val="24"/>
                <w:highlight w:val="yellow"/>
              </w:rPr>
            </w:pP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</w:p>
        </w:tc>
        <w:tc>
          <w:tcPr>
            <w:tcW w:w="11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посещения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CE725B" w:rsidRPr="0052127A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E725B" w:rsidRPr="0052127A" w:rsidRDefault="001E4A28" w:rsidP="00696265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Созданы (обновлены) системы коммунальной инфраструктуры (системы в целом или ее части)</w:t>
            </w:r>
          </w:p>
        </w:tc>
        <w:tc>
          <w:tcPr>
            <w:tcW w:w="1134" w:type="dxa"/>
            <w:shd w:val="clear" w:color="auto" w:fill="auto"/>
          </w:tcPr>
          <w:p w:rsidR="00CE725B" w:rsidRPr="001C00B5" w:rsidRDefault="001E4A28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шт.</w:t>
            </w:r>
          </w:p>
        </w:tc>
        <w:tc>
          <w:tcPr>
            <w:tcW w:w="851" w:type="dxa"/>
          </w:tcPr>
          <w:p w:rsidR="00CE725B" w:rsidRPr="001C00B5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E725B" w:rsidRPr="0052127A" w:rsidRDefault="00050022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  <w:tr w:rsidR="00050022" w:rsidRPr="0052127A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050022" w:rsidRPr="001C00B5" w:rsidRDefault="0052127A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974B0C">
              <w:rPr>
                <w:szCs w:val="24"/>
                <w:lang w:val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050022" w:rsidRPr="0052127A" w:rsidRDefault="0052127A" w:rsidP="0052127A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color w:val="000000"/>
                <w:sz w:val="24"/>
                <w:szCs w:val="24"/>
              </w:rPr>
              <w:t>Разработана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проектн</w:t>
            </w:r>
            <w:r>
              <w:rPr>
                <w:color w:val="000000"/>
                <w:sz w:val="24"/>
                <w:szCs w:val="24"/>
              </w:rPr>
              <w:t>ая документация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на капитальный ремонт системы водоснабжения – «Капитальный ремонт станции 2-го подъема, расположенной по адресу: Ивановская область, г.Пучеж, ул.Северная, д.1», имеющ</w:t>
            </w:r>
            <w:r>
              <w:rPr>
                <w:color w:val="000000"/>
                <w:sz w:val="24"/>
                <w:szCs w:val="24"/>
              </w:rPr>
              <w:t>ая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положительное заключение государственной экспертизы о проверке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:rsidR="00050022" w:rsidRPr="001C00B5" w:rsidRDefault="003A5A77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шт.</w:t>
            </w:r>
          </w:p>
        </w:tc>
        <w:tc>
          <w:tcPr>
            <w:tcW w:w="851" w:type="dxa"/>
          </w:tcPr>
          <w:p w:rsidR="00050022" w:rsidRPr="001C00B5" w:rsidRDefault="003A5A77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  <w:tr w:rsidR="003B5528" w:rsidRPr="0052127A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3B5528" w:rsidRPr="001C00B5" w:rsidRDefault="003B5528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3B5528" w:rsidRPr="0052127A" w:rsidRDefault="003B5528" w:rsidP="0052127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 xml:space="preserve">Созданы (обновлены) системы </w:t>
            </w:r>
            <w:r w:rsidRPr="0052127A">
              <w:rPr>
                <w:sz w:val="24"/>
                <w:szCs w:val="24"/>
              </w:rPr>
              <w:lastRenderedPageBreak/>
              <w:t>коммунальной инфраструктуры (системы в целом или ее части)</w:t>
            </w:r>
          </w:p>
        </w:tc>
        <w:tc>
          <w:tcPr>
            <w:tcW w:w="1134" w:type="dxa"/>
            <w:shd w:val="clear" w:color="auto" w:fill="auto"/>
          </w:tcPr>
          <w:p w:rsidR="003B5528" w:rsidRPr="001C00B5" w:rsidRDefault="003B5528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851" w:type="dxa"/>
          </w:tcPr>
          <w:p w:rsidR="003B5528" w:rsidRPr="001C00B5" w:rsidRDefault="003B5528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B3425">
              <w:rPr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B5528" w:rsidRPr="0052127A" w:rsidRDefault="003B5528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5528" w:rsidRPr="0052127A" w:rsidRDefault="003B5528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5528" w:rsidRPr="0052127A" w:rsidRDefault="003B5528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5528" w:rsidRPr="0052127A" w:rsidRDefault="003B5528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E725B" w:rsidRPr="003A5A77" w:rsidRDefault="00CE725B" w:rsidP="0052127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  <w:highlight w:val="yellow"/>
        </w:rPr>
      </w:pPr>
    </w:p>
    <w:p w:rsidR="00305831" w:rsidRPr="003A5A77" w:rsidRDefault="00305831" w:rsidP="0052127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  <w:highlight w:val="yellow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 w:rsidR="00CE725B">
        <w:rPr>
          <w:sz w:val="24"/>
          <w:szCs w:val="24"/>
        </w:rPr>
        <w:t>4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126BD6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126BD6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126BD6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CE725B">
        <w:rPr>
          <w:sz w:val="24"/>
          <w:szCs w:val="24"/>
        </w:rPr>
        <w:t>5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Default="00074668" w:rsidP="006F3ACB">
      <w:pPr>
        <w:jc w:val="both"/>
        <w:rPr>
          <w:sz w:val="24"/>
          <w:szCs w:val="24"/>
        </w:rPr>
      </w:pPr>
    </w:p>
    <w:p w:rsidR="007329CC" w:rsidRPr="00BC1C03" w:rsidRDefault="007329CC" w:rsidP="006F3ACB">
      <w:pPr>
        <w:jc w:val="both"/>
        <w:rPr>
          <w:sz w:val="24"/>
          <w:szCs w:val="24"/>
        </w:rPr>
      </w:pPr>
    </w:p>
    <w:p w:rsidR="00870769" w:rsidRPr="00BC1C03" w:rsidRDefault="00EF3755" w:rsidP="007329CC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bookmarkEnd w:id="3"/>
    <w:p w:rsidR="007329CC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1836F7">
        <w:rPr>
          <w:sz w:val="24"/>
          <w:szCs w:val="24"/>
        </w:rPr>
        <w:t>а</w:t>
      </w:r>
      <w:r w:rsidR="007329CC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района</w:t>
      </w:r>
      <w:r w:rsidRPr="00BC1C03">
        <w:rPr>
          <w:sz w:val="24"/>
          <w:szCs w:val="24"/>
        </w:rPr>
        <w:tab/>
      </w:r>
      <w:r w:rsidR="00251C36">
        <w:rPr>
          <w:sz w:val="24"/>
          <w:szCs w:val="24"/>
        </w:rPr>
        <w:t xml:space="preserve">             </w:t>
      </w:r>
      <w:r w:rsidR="007329CC">
        <w:rPr>
          <w:sz w:val="24"/>
          <w:szCs w:val="24"/>
        </w:rPr>
        <w:t xml:space="preserve">                              </w:t>
      </w:r>
      <w:r w:rsidR="00251C36">
        <w:rPr>
          <w:sz w:val="24"/>
          <w:szCs w:val="24"/>
        </w:rPr>
        <w:t xml:space="preserve">              С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>В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 xml:space="preserve"> </w:t>
      </w:r>
      <w:proofErr w:type="spellStart"/>
      <w:r w:rsidR="007329CC">
        <w:rPr>
          <w:sz w:val="24"/>
          <w:szCs w:val="24"/>
        </w:rPr>
        <w:t>Жубаркин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B5" w:rsidRDefault="001C00B5">
      <w:r>
        <w:separator/>
      </w:r>
    </w:p>
  </w:endnote>
  <w:endnote w:type="continuationSeparator" w:id="0">
    <w:p w:rsidR="001C00B5" w:rsidRDefault="001C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B5" w:rsidRDefault="001C00B5">
      <w:r>
        <w:separator/>
      </w:r>
    </w:p>
  </w:footnote>
  <w:footnote w:type="continuationSeparator" w:id="0">
    <w:p w:rsidR="001C00B5" w:rsidRDefault="001C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20"/>
  </w:num>
  <w:num w:numId="18">
    <w:abstractNumId w:val="23"/>
  </w:num>
  <w:num w:numId="19">
    <w:abstractNumId w:val="15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33873"/>
    <w:rsid w:val="00034C73"/>
    <w:rsid w:val="00041D76"/>
    <w:rsid w:val="00041E91"/>
    <w:rsid w:val="00050022"/>
    <w:rsid w:val="000600AA"/>
    <w:rsid w:val="00066E1D"/>
    <w:rsid w:val="00070258"/>
    <w:rsid w:val="00072997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3F3B"/>
    <w:rsid w:val="000E5760"/>
    <w:rsid w:val="000E6AE3"/>
    <w:rsid w:val="000F08ED"/>
    <w:rsid w:val="000F1E7A"/>
    <w:rsid w:val="000F4573"/>
    <w:rsid w:val="0010468E"/>
    <w:rsid w:val="00111DD5"/>
    <w:rsid w:val="00112473"/>
    <w:rsid w:val="0011305C"/>
    <w:rsid w:val="0012045D"/>
    <w:rsid w:val="001218BC"/>
    <w:rsid w:val="00123289"/>
    <w:rsid w:val="00126BD6"/>
    <w:rsid w:val="00126D85"/>
    <w:rsid w:val="00130232"/>
    <w:rsid w:val="00132074"/>
    <w:rsid w:val="001377F3"/>
    <w:rsid w:val="001465B8"/>
    <w:rsid w:val="001519E5"/>
    <w:rsid w:val="00152CEA"/>
    <w:rsid w:val="0015385C"/>
    <w:rsid w:val="0015733D"/>
    <w:rsid w:val="001602E3"/>
    <w:rsid w:val="001612F1"/>
    <w:rsid w:val="00167222"/>
    <w:rsid w:val="00173FEA"/>
    <w:rsid w:val="001836F7"/>
    <w:rsid w:val="00183D05"/>
    <w:rsid w:val="00183DEA"/>
    <w:rsid w:val="0019214E"/>
    <w:rsid w:val="001A046C"/>
    <w:rsid w:val="001A2EB7"/>
    <w:rsid w:val="001A41F8"/>
    <w:rsid w:val="001B5C26"/>
    <w:rsid w:val="001B7A7E"/>
    <w:rsid w:val="001C00B5"/>
    <w:rsid w:val="001C41B0"/>
    <w:rsid w:val="001C79F6"/>
    <w:rsid w:val="001C7B9C"/>
    <w:rsid w:val="001D21DF"/>
    <w:rsid w:val="001D4794"/>
    <w:rsid w:val="001E2045"/>
    <w:rsid w:val="001E20AA"/>
    <w:rsid w:val="001E2531"/>
    <w:rsid w:val="001E4A28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40F02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B2962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56EC"/>
    <w:rsid w:val="00305831"/>
    <w:rsid w:val="00307A0D"/>
    <w:rsid w:val="00310786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A5A77"/>
    <w:rsid w:val="003B0F10"/>
    <w:rsid w:val="003B3425"/>
    <w:rsid w:val="003B3A9D"/>
    <w:rsid w:val="003B5528"/>
    <w:rsid w:val="003B6A7A"/>
    <w:rsid w:val="003C4061"/>
    <w:rsid w:val="003C66D3"/>
    <w:rsid w:val="003E21BE"/>
    <w:rsid w:val="003E3A86"/>
    <w:rsid w:val="003E700A"/>
    <w:rsid w:val="003F0291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01C6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127A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355E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329CC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8C5"/>
    <w:rsid w:val="00795EA1"/>
    <w:rsid w:val="00797A22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74B0C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1D7E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1EB4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2BDB"/>
    <w:rsid w:val="00BB3C66"/>
    <w:rsid w:val="00BB6F2E"/>
    <w:rsid w:val="00BC1C03"/>
    <w:rsid w:val="00BC5BFC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B6E7B"/>
    <w:rsid w:val="00CC5B7E"/>
    <w:rsid w:val="00CD200B"/>
    <w:rsid w:val="00CD6FCB"/>
    <w:rsid w:val="00CD7515"/>
    <w:rsid w:val="00CE2A5C"/>
    <w:rsid w:val="00CE4F82"/>
    <w:rsid w:val="00CE725B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0AF3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661B"/>
    <w:rsid w:val="00DE6E09"/>
    <w:rsid w:val="00DF039D"/>
    <w:rsid w:val="00DF2709"/>
    <w:rsid w:val="00E0145C"/>
    <w:rsid w:val="00E03559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31C2"/>
    <w:rsid w:val="00EA4980"/>
    <w:rsid w:val="00EB4DFB"/>
    <w:rsid w:val="00EB5AAF"/>
    <w:rsid w:val="00EB6E5B"/>
    <w:rsid w:val="00EC06AB"/>
    <w:rsid w:val="00EC3F50"/>
    <w:rsid w:val="00ED001F"/>
    <w:rsid w:val="00ED4C4E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1D99"/>
    <w:rsid w:val="00F53C63"/>
    <w:rsid w:val="00F53CD3"/>
    <w:rsid w:val="00F6066A"/>
    <w:rsid w:val="00F62085"/>
    <w:rsid w:val="00F64B90"/>
    <w:rsid w:val="00F71018"/>
    <w:rsid w:val="00F71124"/>
    <w:rsid w:val="00F7245A"/>
    <w:rsid w:val="00F76883"/>
    <w:rsid w:val="00F85DB5"/>
    <w:rsid w:val="00F86AA4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509"/>
    <w:rsid w:val="00FD0CF7"/>
    <w:rsid w:val="00FD23AA"/>
    <w:rsid w:val="00FD6B7D"/>
    <w:rsid w:val="00FE1274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CE725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74FF-D8A1-4D7C-A40C-1D904B93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149</cp:revision>
  <cp:lastPrinted>2025-08-14T09:54:00Z</cp:lastPrinted>
  <dcterms:created xsi:type="dcterms:W3CDTF">2017-12-21T11:13:00Z</dcterms:created>
  <dcterms:modified xsi:type="dcterms:W3CDTF">2025-08-14T11:33:00Z</dcterms:modified>
</cp:coreProperties>
</file>